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B8" w:rsidRDefault="00351B38" w:rsidP="00932275">
      <w:pPr>
        <w:rPr>
          <w:rFonts w:ascii="Cambria" w:eastAsia="Cambria" w:hAnsi="Cambria" w:cs="Cambria"/>
          <w:b/>
          <w:bCs/>
          <w:shd w:val="clear" w:color="auto" w:fill="D8D8D8"/>
        </w:rPr>
      </w:pPr>
      <w:r>
        <w:rPr>
          <w:rFonts w:ascii="Cambria" w:eastAsia="Cambria" w:hAnsi="Cambria" w:cs="Cambria"/>
          <w:b/>
          <w:bCs/>
          <w:noProof/>
          <w:sz w:val="28"/>
          <w:szCs w:val="28"/>
          <w:shd w:val="clear" w:color="auto" w:fill="D8D8D8"/>
          <w:lang w:val="ru-RU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5060891</wp:posOffset>
            </wp:positionH>
            <wp:positionV relativeFrom="line">
              <wp:posOffset>404</wp:posOffset>
            </wp:positionV>
            <wp:extent cx="1101601" cy="1144800"/>
            <wp:effectExtent l="0" t="0" r="0" b="0"/>
            <wp:wrapSquare wrapText="bothSides" distT="57150" distB="57150" distL="57150" distR="57150"/>
            <wp:docPr id="1073741825" name="officeArt object" descr="&quot;钜#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&quot;钜#Ĝ" descr="&quot;钜#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1601" cy="114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sz w:val="28"/>
          <w:szCs w:val="28"/>
          <w:shd w:val="clear" w:color="auto" w:fill="D8D8D8"/>
          <w:lang w:val="ru-RU"/>
        </w:rPr>
        <w:t xml:space="preserve">Биография </w:t>
      </w:r>
      <w:r>
        <w:rPr>
          <w:rFonts w:ascii="Cambria" w:eastAsia="Cambria" w:hAnsi="Cambria" w:cs="Cambria"/>
          <w:b/>
          <w:bCs/>
          <w:shd w:val="clear" w:color="auto" w:fill="D8D8D8"/>
          <w:lang w:val="ru-RU"/>
        </w:rPr>
        <w:t>(15.08.2019)</w:t>
      </w:r>
    </w:p>
    <w:tbl>
      <w:tblPr>
        <w:tblStyle w:val="a5"/>
        <w:tblW w:w="10634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1158"/>
        <w:gridCol w:w="7662"/>
      </w:tblGrid>
      <w:tr w:rsidR="00AC57B8" w:rsidRPr="00932275" w:rsidTr="00932275">
        <w:trPr>
          <w:trHeight w:val="19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spacing w:line="264" w:lineRule="auto"/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Имя</w:t>
            </w:r>
            <w:proofErr w:type="spellEnd"/>
          </w:p>
        </w:tc>
        <w:tc>
          <w:tcPr>
            <w:tcW w:w="8820" w:type="dxa"/>
            <w:gridSpan w:val="2"/>
          </w:tcPr>
          <w:p w:rsidR="00AC57B8" w:rsidRPr="00932275" w:rsidRDefault="00351B38" w:rsidP="00932275">
            <w:pPr>
              <w:spacing w:line="264" w:lineRule="auto"/>
              <w:ind w:left="76" w:right="5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Косукэ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М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ОТАНИ</w:t>
            </w:r>
          </w:p>
        </w:tc>
      </w:tr>
      <w:tr w:rsidR="00AC57B8" w:rsidRPr="00932275" w:rsidTr="00932275">
        <w:trPr>
          <w:trHeight w:val="41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spacing w:line="264" w:lineRule="auto"/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>Дата и место рождения</w:t>
            </w:r>
          </w:p>
        </w:tc>
        <w:tc>
          <w:tcPr>
            <w:tcW w:w="8820" w:type="dxa"/>
            <w:gridSpan w:val="2"/>
          </w:tcPr>
          <w:p w:rsidR="00AC57B8" w:rsidRPr="00932275" w:rsidRDefault="00351B38" w:rsidP="00932275">
            <w:pPr>
              <w:spacing w:line="264" w:lineRule="auto"/>
              <w:ind w:left="76"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18 июня 1964 г. (55 лет), преф.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Ямагути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г.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Сюнан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(бывш.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Токуяма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) </w:t>
            </w:r>
          </w:p>
        </w:tc>
      </w:tr>
      <w:tr w:rsidR="00AC57B8" w:rsidRPr="00932275" w:rsidTr="00932275">
        <w:trPr>
          <w:trHeight w:val="99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spacing w:line="264" w:lineRule="auto"/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>Текущее место работы</w:t>
            </w:r>
          </w:p>
        </w:tc>
        <w:tc>
          <w:tcPr>
            <w:tcW w:w="8820" w:type="dxa"/>
            <w:gridSpan w:val="2"/>
          </w:tcPr>
          <w:p w:rsidR="00AC57B8" w:rsidRPr="00932275" w:rsidRDefault="00351B38" w:rsidP="00932275">
            <w:pPr>
              <w:spacing w:line="264" w:lineRule="auto"/>
              <w:ind w:left="76" w:right="51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Старший научный сотрудник АО «Японский исследовательский институт» (внештатный сотрудник с договором ежегодного продления)</w:t>
            </w:r>
          </w:p>
          <w:p w:rsidR="00AC57B8" w:rsidRPr="00932275" w:rsidRDefault="00351B38" w:rsidP="00932275">
            <w:pPr>
              <w:spacing w:line="216" w:lineRule="auto"/>
              <w:ind w:left="76" w:right="51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Специальный советник департамента регионального планирования АО «Банк развития Японии» (частичная занятость)</w:t>
            </w:r>
          </w:p>
          <w:p w:rsidR="00AC57B8" w:rsidRPr="00932275" w:rsidRDefault="00351B38" w:rsidP="00932275">
            <w:pPr>
              <w:spacing w:line="216" w:lineRule="auto"/>
              <w:ind w:left="76" w:right="51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Директор НКО «Сеть содействия региональному управлению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ComPus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 (безвозмездно)</w:t>
            </w:r>
          </w:p>
        </w:tc>
      </w:tr>
      <w:tr w:rsidR="00AC57B8" w:rsidRPr="00932275" w:rsidTr="00932275">
        <w:trPr>
          <w:trHeight w:val="59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spacing w:line="20" w:lineRule="atLeast"/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Образование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</w:tcPr>
          <w:p w:rsidR="00AC57B8" w:rsidRPr="00932275" w:rsidRDefault="00351B38" w:rsidP="00932275">
            <w:pPr>
              <w:spacing w:line="20" w:lineRule="atLeast"/>
              <w:ind w:right="51"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1983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0" w:lineRule="atLeast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Окончил класс с научно-математическим уклоном старшей школы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Токуяма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преф.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Ямагути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; поступил на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I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гуманитарный факультет Токийского университета. Окончил юридический факультет по специальности «частное право» (1988) </w:t>
            </w:r>
          </w:p>
        </w:tc>
      </w:tr>
      <w:tr w:rsidR="00AC57B8" w:rsidRPr="00932275" w:rsidTr="00932275">
        <w:trPr>
          <w:trHeight w:val="373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spacing w:line="20" w:lineRule="atLeast"/>
              <w:ind w:left="120" w:right="51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1994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Окончил бизнес-школу Колумбийского университета, Нью-Йорк, США (Магистр делового администрирования =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MBA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AC57B8" w:rsidRPr="00932275" w:rsidTr="00932275">
        <w:trPr>
          <w:trHeight w:val="39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Опыт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1988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Поступил на работу в «Банк японского развития» (ныне АО «Банк развития Японии») . До конца 2011 года проработал в качестве штатного сотрудника.</w:t>
            </w:r>
          </w:p>
        </w:tc>
      </w:tr>
      <w:tr w:rsidR="00AC57B8" w:rsidRPr="00932275" w:rsidTr="00932275">
        <w:trPr>
          <w:trHeight w:val="79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2012 – н/в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ind w:left="80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Старший научный сотрудник АО «Японский исследовательский институт» (внештатный сотрудник с договором ежегодного продления) </w:t>
            </w:r>
          </w:p>
          <w:p w:rsidR="00AC57B8" w:rsidRPr="00932275" w:rsidRDefault="00351B38" w:rsidP="00932275">
            <w:pPr>
              <w:ind w:left="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Специальный советник департамента регионального планирования АО «Банк развития Японии» (частичная занятость)</w:t>
            </w:r>
          </w:p>
        </w:tc>
      </w:tr>
      <w:tr w:rsidR="00AC57B8" w:rsidRPr="00932275" w:rsidTr="00932275">
        <w:trPr>
          <w:trHeight w:val="554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1994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79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Научный сотрудник отдела исследований Фонда «Японский экономический научно-исследовательский институт». Завершение контракта о командировании сотрудника в 1997 г.</w:t>
            </w:r>
          </w:p>
        </w:tc>
      </w:tr>
      <w:tr w:rsidR="00AC57B8" w:rsidRPr="00932275" w:rsidTr="00932275">
        <w:trPr>
          <w:trHeight w:val="39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2009 – 2010 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Старший консультант в «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DBJ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Сингапур», партнер в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IE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Singapore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. Завершение контракта о командировании сотрудника в 2010 г.</w:t>
            </w:r>
          </w:p>
        </w:tc>
      </w:tr>
      <w:tr w:rsidR="00AC57B8" w:rsidRPr="00932275" w:rsidTr="00932275">
        <w:trPr>
          <w:trHeight w:val="1638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spacing w:line="264" w:lineRule="auto"/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Работа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совместительству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08" w:right="5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2000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-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79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Член рабочих групп канцелярии кабинета министров, секретариата кабинета министров, различных министерств – земли, инфраструктуры, транспорта и туризма; сельского хозяйства, лесных угодий и рыбного промысла; внутренних вопросов и коммуникаций; здравоохранения, труда и благосостояния; финансов; экономики, торговли и промышленности; образования, культуры, спорта, науки и технологий </w:t>
            </w:r>
          </w:p>
          <w:p w:rsidR="00AC57B8" w:rsidRPr="00932275" w:rsidRDefault="00351B38" w:rsidP="00932275">
            <w:pPr>
              <w:spacing w:line="216" w:lineRule="auto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Внештатный лектор университетов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Риккё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Хосэй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Яманаси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Гакуин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Префектурального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университета Аомори; председатель родительского комитета районной начальной школы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Комаба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в 2008 г.</w:t>
            </w:r>
          </w:p>
        </w:tc>
      </w:tr>
      <w:tr w:rsidR="00AC57B8" w:rsidRPr="00932275" w:rsidTr="00932275">
        <w:trPr>
          <w:trHeight w:val="554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н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/в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9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Член правления Фонда «Центр международного обмена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LABO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», приглашенный профессор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Префектурального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университета Нагано,  приглашенный профессор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Префектурального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университета Ниими и пр.</w:t>
            </w:r>
          </w:p>
        </w:tc>
      </w:tr>
      <w:tr w:rsidR="00AC57B8" w:rsidRPr="00932275" w:rsidTr="00932275">
        <w:trPr>
          <w:trHeight w:val="59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Специальные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 xml:space="preserve"> навыки и увлечения</w:t>
            </w: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-76" w:right="-112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Ге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ография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Японии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04" w:lineRule="auto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За свой счет объехал все 3200 муниципальных образований до муниципального объединения эпохи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Хэйсэй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ознакомившись с их ландшафтом, транспортом, промышленностью, населением и историей</w:t>
            </w:r>
          </w:p>
        </w:tc>
      </w:tr>
      <w:tr w:rsidR="00AC57B8" w:rsidRPr="00932275" w:rsidTr="00932275">
        <w:trPr>
          <w:trHeight w:val="79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spacing w:line="20" w:lineRule="atLeast"/>
              <w:ind w:left="-76" w:hanging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Всемирная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0" w:lineRule="atLeast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За свой счет объехал 109 стран мира (посетил все независимые страны Европы и 50 штатов США)</w:t>
            </w:r>
          </w:p>
        </w:tc>
      </w:tr>
      <w:tr w:rsidR="00AC57B8" w:rsidRPr="00932275" w:rsidTr="00932275">
        <w:trPr>
          <w:trHeight w:val="59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spacing w:line="20" w:lineRule="atLeast"/>
              <w:ind w:left="120" w:right="113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А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втомо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били</w:t>
            </w:r>
            <w:proofErr w:type="spellEnd"/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0" w:lineRule="atLeast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Объехал 46% муниципальных образований до муниципального объединения эпохи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Хэйсэй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соединив крайние западные, восточные, северные и южные точки островов Хоккайдо, Хонсю, Сикоку и Кюсю</w:t>
            </w:r>
          </w:p>
        </w:tc>
      </w:tr>
      <w:tr w:rsidR="00AC57B8" w:rsidRPr="00932275" w:rsidTr="00932275">
        <w:trPr>
          <w:trHeight w:val="39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tabs>
                <w:tab w:val="left" w:pos="775"/>
              </w:tabs>
              <w:spacing w:line="20" w:lineRule="atLeast"/>
              <w:ind w:left="120" w:right="113" w:hanging="19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Железная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дорога</w:t>
            </w:r>
            <w:proofErr w:type="spellEnd"/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0" w:lineRule="atLeast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Проехал на всех внутренних регулярных железнодорожных линиях (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JR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частные и муниципальные железные дороги)</w:t>
            </w:r>
          </w:p>
        </w:tc>
      </w:tr>
      <w:tr w:rsidR="00AC57B8" w:rsidRPr="00932275" w:rsidTr="00932275">
        <w:trPr>
          <w:trHeight w:val="39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right="30"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Деловые навыки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Английский разговорный язык, финансы, маркетинг, ведение переговоров, презентации (японский, английский), стратегия управления, статистика</w:t>
            </w:r>
          </w:p>
        </w:tc>
      </w:tr>
      <w:tr w:rsidR="00AC57B8" w:rsidRPr="00932275" w:rsidTr="00932275">
        <w:trPr>
          <w:trHeight w:val="139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spacing w:line="264" w:lineRule="auto"/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Информационная д</w:t>
            </w: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еятел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>ь</w:t>
            </w: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ность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jc w:val="center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Публикации </w:t>
            </w:r>
          </w:p>
          <w:p w:rsidR="00AC57B8" w:rsidRPr="00932275" w:rsidRDefault="00351B38" w:rsidP="00932275">
            <w:pPr>
              <w:ind w:left="40" w:right="-112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(недавние)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ind w:left="79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fr-FR"/>
              </w:rPr>
              <w:t>«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Геополитика улиц мира.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Next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it-IT"/>
              </w:rPr>
              <w:t>»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Бунгэй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Сюндзю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2019.</w:t>
            </w:r>
          </w:p>
          <w:p w:rsidR="00AC57B8" w:rsidRPr="00932275" w:rsidRDefault="00351B38" w:rsidP="00932275">
            <w:pPr>
              <w:ind w:left="79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fr-FR"/>
              </w:rPr>
              <w:t>«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Геополитика улиц мира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it-IT"/>
              </w:rPr>
              <w:t>»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Майнити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Сюппан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2018.</w:t>
            </w:r>
          </w:p>
          <w:p w:rsidR="00AC57B8" w:rsidRPr="00932275" w:rsidRDefault="00351B38" w:rsidP="00932275">
            <w:pPr>
              <w:ind w:left="79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«Реальные показатели! Региональная мощь Японии»,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Нихон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кэйдзай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сюппанся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», 2007 (индивидуальная монография, тираж 30 тыс.)</w:t>
            </w:r>
          </w:p>
          <w:p w:rsidR="00AC57B8" w:rsidRPr="00932275" w:rsidRDefault="00351B38" w:rsidP="00932275">
            <w:pPr>
              <w:ind w:left="7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«Истинное лицо дефляции»,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Кадокава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Уан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Тэма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21, 2010 (индивидуальная монография, тираж 500 тыс., 2-ая премия за лучшую книжную новинку, 3-ья премия за лучшую книгу об экономике)</w:t>
            </w:r>
          </w:p>
        </w:tc>
      </w:tr>
      <w:tr w:rsidR="00AC57B8" w:rsidRPr="00932275" w:rsidTr="00932275">
        <w:trPr>
          <w:trHeight w:val="179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jc w:val="center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Публикации</w:t>
            </w:r>
          </w:p>
          <w:p w:rsidR="00AC57B8" w:rsidRPr="00932275" w:rsidRDefault="00351B38" w:rsidP="00932275">
            <w:pPr>
              <w:ind w:left="-76" w:right="-1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(интервью)</w:t>
            </w:r>
          </w:p>
        </w:tc>
        <w:tc>
          <w:tcPr>
            <w:tcW w:w="7662" w:type="dxa"/>
          </w:tcPr>
          <w:p w:rsidR="00AC57B8" w:rsidRPr="00932275" w:rsidRDefault="00351B38" w:rsidP="00932275">
            <w:pPr>
              <w:ind w:lef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fr-FR"/>
              </w:rPr>
              <w:t>«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Построение гибкого Японского архипелага. Полная версия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it-IT"/>
              </w:rPr>
              <w:t>»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Синтё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бунко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2018; «Гордость деревни»,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Букман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2018; «Теория счастливого государства без экономического роста»,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Майнити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2017; «Истинное лицо государства, ориентированного на туризм»,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Синтёся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2016; «Мое исследование о природе и причинах богатства народов»,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Синтёся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2016; «Большая проблема Японии»,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Тюокорон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2016; «Зерно будущего, найденное в реке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Такацу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Тюокорон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2015; «Построение гибкого Японского архипелага»,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Синтёся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2014; «Нация финансового спокойствия»,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Сюэйся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Синсё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2013; «Можем ли мы быть счастливыми без экономического роста?»,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Гакугэй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сюппанся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2012.</w:t>
            </w:r>
          </w:p>
        </w:tc>
      </w:tr>
      <w:tr w:rsidR="00AC57B8" w:rsidRPr="00932275" w:rsidTr="00932275">
        <w:trPr>
          <w:trHeight w:val="3265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tabs>
                <w:tab w:val="left" w:pos="895"/>
              </w:tabs>
              <w:ind w:left="-76" w:right="5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Частич</w:t>
            </w:r>
            <w:r w:rsid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-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ный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вклад в публика</w:t>
            </w:r>
            <w:r w:rsidR="00932275"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ции</w:t>
            </w:r>
            <w:proofErr w:type="spellEnd"/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fr-FR"/>
              </w:rPr>
              <w:t>«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Капитализм “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сатояма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”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it-IT"/>
              </w:rPr>
              <w:t>»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Кадокава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Уан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Тэма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21, 2013, (в соавторстве, тираж 400 тысяч экз., 1-ая премия за лучшую книжную новинку, 9-ая премия за лучшую книгу об экономике); «Детей стало больше»,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Кобунся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Синсё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2019; «Гордость деревни»,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Букман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2019; «Социология в эпоху снижения численности населения»,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Бунгэй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Сюндзю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2018 г., «Делай что можешь как можешь»,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Парэдо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2017; «Фукусима – день, который больше Японии», Камогава, 2016; «Токио больше не нужен»,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Никкэй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2015; «Особый урок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Гаккогура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Никкэй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BP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2015; Продолжение «К следующей книге»,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Куракудо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2015; «</w:t>
            </w:r>
            <w:r w:rsidR="001925FC"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Копится,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сокращаясь! Путь к благородному инновационному развитию»,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Бунгэйсюндзю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2015; «Государственная стратегия ЛДПЯ. Схема Японии будущего-2030»,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Никкэй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BP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2014; «Японская региональная мощь, о которой надо знать», Имаи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Сётэн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2014; «Размышление об экономике в разрезе энергетики», Годо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Сюппан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2013; «Размышления о разнице показателей»,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Никкэй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2008; «Не убивайте регионы!»,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Ёсэнся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2007; «Вопросы Японии-2008»,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Бунгэйсюндзю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2007; «Реальные показатели! Стратегия возрождения регионов»,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Киндзай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2004; «Пенсионный возраст поколения бэби-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бумеров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и японская экономика», Ниппон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Хёрон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2004; «Кластерная стратегия»,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Юхикаку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Паблишинг, 2002; «Самостоятельные регионы»,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Гёсэй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2000; «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IT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революция и мобильная экономика», Тоё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Кэйдзай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2000</w:t>
            </w:r>
          </w:p>
        </w:tc>
      </w:tr>
      <w:tr w:rsidR="00AC57B8" w:rsidRPr="00932275" w:rsidTr="00932275">
        <w:trPr>
          <w:trHeight w:val="3742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Серии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публикаций</w:t>
            </w:r>
            <w:proofErr w:type="spellEnd"/>
          </w:p>
        </w:tc>
        <w:tc>
          <w:tcPr>
            <w:tcW w:w="7662" w:type="dxa"/>
          </w:tcPr>
          <w:p w:rsidR="00AC57B8" w:rsidRPr="00932275" w:rsidRDefault="00351B38" w:rsidP="00932275">
            <w:pPr>
              <w:spacing w:line="216" w:lineRule="auto"/>
              <w:ind w:left="120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«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Косукэ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Мотани: поездки, впечатления, размышления» серия еженедельных публикаций о зарубежных странах в газете «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Майнити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. Экономика Премьер» (электронная версия) </w:t>
            </w:r>
          </w:p>
          <w:p w:rsidR="00AC57B8" w:rsidRPr="00932275" w:rsidRDefault="00351B38" w:rsidP="00932275">
            <w:pPr>
              <w:spacing w:line="216" w:lineRule="auto"/>
              <w:ind w:left="120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«Ветер эпохи» (газета «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Майнити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»), «Холодный ветер, теплый ветер» (газета «Хоккайдо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»), «Предлагаемая теория» (газета «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Нисиниппон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»), «Настроения пахотных земель» (газета «Токати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Майнити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»), «Точка зрения» (газета «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Нихон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Ногё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»), «Утренняя шкатулка для писем» (газета «Минами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Нихон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», нерегулярные публикации), книжный обозреватель газеты «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Майнити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 </w:t>
            </w:r>
          </w:p>
          <w:p w:rsidR="00AC57B8" w:rsidRPr="00932275" w:rsidRDefault="00351B38" w:rsidP="00932275">
            <w:pPr>
              <w:ind w:left="120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В прошлом – серия «Диалоги с мудрецами современности</w:t>
            </w:r>
            <w:r w:rsidR="00884B9C"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»,</w:t>
            </w: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Синтё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45, 2012 – 2015, всего 18 выпусков</w:t>
            </w:r>
          </w:p>
          <w:p w:rsidR="00AC57B8" w:rsidRPr="00932275" w:rsidRDefault="00351B38" w:rsidP="00932275">
            <w:pPr>
              <w:ind w:left="120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«Мощь неожиданно сильных регионов» (газета «Асахи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», субботнее приложение «Би», 2008, всего 50 публикаций)</w:t>
            </w:r>
          </w:p>
          <w:p w:rsidR="00AC57B8" w:rsidRPr="00932275" w:rsidRDefault="00351B38" w:rsidP="00932275">
            <w:pPr>
              <w:ind w:left="120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«Реальные показатели! Японская экономика» (еженедельник «Экономист», в течение года с 03.10.2005., всего 50 публикаций)</w:t>
            </w:r>
          </w:p>
          <w:p w:rsidR="00AC57B8" w:rsidRPr="00932275" w:rsidRDefault="00351B38" w:rsidP="00932275">
            <w:pPr>
              <w:spacing w:line="216" w:lineRule="auto"/>
              <w:ind w:left="120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«Общегосударственный путь строительства городов» (журнал «Исигаки», июнь 2005 – ноябрь 2007, всего 30 публикаций)</w:t>
            </w:r>
          </w:p>
          <w:p w:rsidR="00AC57B8" w:rsidRPr="00932275" w:rsidRDefault="00351B38" w:rsidP="00932275">
            <w:pPr>
              <w:spacing w:line="216" w:lineRule="auto"/>
              <w:ind w:left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А также «Совместная работа» с секретариатом кабинета министров, публикации в газетах «Миядзаки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Нитинити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», «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Дзэнкоку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Сёко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Симбун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», «Окинава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Таймз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» и др.</w:t>
            </w:r>
          </w:p>
        </w:tc>
      </w:tr>
      <w:tr w:rsidR="00AC57B8" w:rsidRPr="00932275" w:rsidTr="00932275">
        <w:trPr>
          <w:trHeight w:val="1435"/>
          <w:jc w:val="center"/>
        </w:trPr>
        <w:tc>
          <w:tcPr>
            <w:tcW w:w="1814" w:type="dxa"/>
          </w:tcPr>
          <w:p w:rsidR="00AC57B8" w:rsidRPr="00932275" w:rsidRDefault="00AC57B8" w:rsidP="0093227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</w:tcPr>
          <w:p w:rsidR="00AC57B8" w:rsidRPr="00932275" w:rsidRDefault="00351B38" w:rsidP="00932275">
            <w:pPr>
              <w:ind w:left="120" w:right="51" w:hanging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Выступле</w:t>
            </w:r>
            <w:bookmarkStart w:id="0" w:name="_GoBack"/>
            <w:bookmarkEnd w:id="0"/>
            <w:r w:rsidRPr="00932275">
              <w:rPr>
                <w:rFonts w:ascii="Times New Roman" w:eastAsia="Cambria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662" w:type="dxa"/>
          </w:tcPr>
          <w:p w:rsidR="00AC57B8" w:rsidRPr="00932275" w:rsidRDefault="00351B38" w:rsidP="00932275">
            <w:pPr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Более 6000 выступлений и участие в передачах (из них около 400 выступлений в 2018 г.)</w:t>
            </w:r>
          </w:p>
          <w:p w:rsidR="00AC57B8" w:rsidRPr="00932275" w:rsidRDefault="00351B38" w:rsidP="00932275">
            <w:pPr>
              <w:spacing w:line="216" w:lineRule="auto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Темы: проблема демографической зрелости населения, центральные районы, развитие промышленности, объединение муниципальных образований, региональные финансы, развитие туризма, возрождение регионов и пр.</w:t>
            </w:r>
          </w:p>
          <w:p w:rsidR="00AC57B8" w:rsidRPr="00932275" w:rsidRDefault="00351B38" w:rsidP="00932275">
            <w:pPr>
              <w:spacing w:line="21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Лекции в 3 городах России для Японских Центров, а также в Сахалинском японском центре в 2018 г.</w:t>
            </w:r>
          </w:p>
        </w:tc>
      </w:tr>
      <w:tr w:rsidR="00AC57B8" w:rsidRPr="00932275" w:rsidTr="00932275">
        <w:trPr>
          <w:trHeight w:val="2095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инципы</w:t>
            </w:r>
            <w:proofErr w:type="spellEnd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 xml:space="preserve"> мышления</w:t>
            </w:r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20" w:type="dxa"/>
            <w:gridSpan w:val="2"/>
          </w:tcPr>
          <w:p w:rsidR="00AC57B8" w:rsidRPr="00932275" w:rsidRDefault="00351B38" w:rsidP="00932275">
            <w:pPr>
              <w:numPr>
                <w:ilvl w:val="0"/>
                <w:numId w:val="1"/>
              </w:numPr>
              <w:spacing w:line="216" w:lineRule="auto"/>
              <w:ind w:right="51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Сопоставлять гипотезы, полученные на основании конкретных цифр/реальных примеров/географических и исторических данных (индукция), с базовыми логическими последовательностями (дедукция) для понимания реальной структуры явлений</w:t>
            </w:r>
          </w:p>
          <w:p w:rsidR="00AC57B8" w:rsidRPr="00932275" w:rsidRDefault="00351B38" w:rsidP="00932275">
            <w:pPr>
              <w:numPr>
                <w:ilvl w:val="0"/>
                <w:numId w:val="1"/>
              </w:numPr>
              <w:spacing w:line="216" w:lineRule="auto"/>
              <w:ind w:right="51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Ставить под сомнение общепринятые истины, не использовать клише, не иметь  предубеждений, не следовать доказанным устоявшимся представлениям, также всевозможным идеям и принципам</w:t>
            </w:r>
          </w:p>
          <w:p w:rsidR="00AC57B8" w:rsidRPr="00932275" w:rsidRDefault="00351B38" w:rsidP="00932275">
            <w:pPr>
              <w:numPr>
                <w:ilvl w:val="0"/>
                <w:numId w:val="1"/>
              </w:numPr>
              <w:spacing w:line="216" w:lineRule="auto"/>
              <w:ind w:right="51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Не испытывать жажду власти, чувство превосходства или самоуничижения перед другими людьми и странами, веру в образование/науку/технологию, примитивный консерватизм/новаторство</w:t>
            </w:r>
          </w:p>
          <w:p w:rsidR="00AC57B8" w:rsidRPr="00932275" w:rsidRDefault="00351B38" w:rsidP="00932275">
            <w:pPr>
              <w:numPr>
                <w:ilvl w:val="0"/>
                <w:numId w:val="2"/>
              </w:numPr>
              <w:spacing w:line="216" w:lineRule="auto"/>
              <w:ind w:right="51"/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В спорах и выступлениях уверенно выражать свое мнение, в случае ошибки вести себя достойно и незамедлительно ее исправлять</w:t>
            </w:r>
          </w:p>
        </w:tc>
      </w:tr>
      <w:tr w:rsidR="00AC57B8" w:rsidRPr="00932275" w:rsidTr="00932275">
        <w:trPr>
          <w:trHeight w:val="1602"/>
          <w:jc w:val="center"/>
        </w:trPr>
        <w:tc>
          <w:tcPr>
            <w:tcW w:w="1814" w:type="dxa"/>
          </w:tcPr>
          <w:p w:rsidR="00AC57B8" w:rsidRPr="00932275" w:rsidRDefault="00351B38" w:rsidP="00932275">
            <w:pPr>
              <w:ind w:right="21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 xml:space="preserve">Дополнительная информация:  пример резюме в </w:t>
            </w:r>
            <w:proofErr w:type="spellStart"/>
            <w:r w:rsidRPr="00932275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ru-RU"/>
              </w:rPr>
              <w:t>лифлете</w:t>
            </w:r>
            <w:proofErr w:type="spellEnd"/>
          </w:p>
        </w:tc>
        <w:tc>
          <w:tcPr>
            <w:tcW w:w="8820" w:type="dxa"/>
            <w:gridSpan w:val="2"/>
          </w:tcPr>
          <w:p w:rsidR="00AC57B8" w:rsidRPr="00932275" w:rsidRDefault="00351B38" w:rsidP="00932275">
            <w:pPr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Родился в префектуре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Ямагути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, 55 лет. За свой счет объехал все 3200 муниципальных образований до муниципального объединения эпохи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Хэйсэй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109 стран мира, хорошо знаком с региональными особенностями. Исследователь, автор публикаций и выступлений на тему регионального развития и проблемы демографической зрелости населения. В нынешней должности работает с 2012 г. Среди недавних публикаций – «Истинное лицо дефляции» (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Кадокава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Уан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Тэма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21), «Капитализм “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сатояма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”»,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Кадокава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, «Построение гибкого Японского архипелага. Полная версия», «Истинное лицо государства, ориентированного на туризм» (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Синтёся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) и др. Из последних работ: «Геополитика улиц мира.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Next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»,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Бунгэй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Сюндзю</w:t>
            </w:r>
            <w:proofErr w:type="spellEnd"/>
            <w:r w:rsidRPr="00932275">
              <w:rPr>
                <w:rFonts w:ascii="Times New Roman" w:eastAsia="Cambria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AC57B8" w:rsidRDefault="00AC57B8" w:rsidP="00932275">
      <w:pPr>
        <w:jc w:val="right"/>
      </w:pPr>
    </w:p>
    <w:sectPr w:rsidR="00AC57B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624" w:right="1304" w:bottom="510" w:left="130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35" w:rsidRDefault="00961735">
      <w:r>
        <w:separator/>
      </w:r>
    </w:p>
  </w:endnote>
  <w:endnote w:type="continuationSeparator" w:id="0">
    <w:p w:rsidR="00961735" w:rsidRDefault="0096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B8" w:rsidRDefault="00351B38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1C697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B8" w:rsidRDefault="00AC57B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35" w:rsidRDefault="00961735">
      <w:r>
        <w:separator/>
      </w:r>
    </w:p>
  </w:footnote>
  <w:footnote w:type="continuationSeparator" w:id="0">
    <w:p w:rsidR="00961735" w:rsidRDefault="0096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B8" w:rsidRDefault="00AC57B8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B8" w:rsidRDefault="00AC57B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2269C"/>
    <w:multiLevelType w:val="hybridMultilevel"/>
    <w:tmpl w:val="AB346242"/>
    <w:lvl w:ilvl="0" w:tplc="E3AA9BDA">
      <w:start w:val="1"/>
      <w:numFmt w:val="decimalEnclosedCircle"/>
      <w:lvlText w:val="%1"/>
      <w:lvlJc w:val="left"/>
      <w:pPr>
        <w:ind w:left="313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AE2102">
      <w:start w:val="1"/>
      <w:numFmt w:val="aiueoFullWidth"/>
      <w:lvlText w:val="(%2)"/>
      <w:lvlJc w:val="left"/>
      <w:pPr>
        <w:ind w:left="627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66A4A">
      <w:start w:val="1"/>
      <w:numFmt w:val="decimalEnclosedCircle"/>
      <w:lvlText w:val="%3"/>
      <w:lvlJc w:val="left"/>
      <w:pPr>
        <w:tabs>
          <w:tab w:val="left" w:pos="392"/>
        </w:tabs>
        <w:ind w:left="979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45A06">
      <w:start w:val="1"/>
      <w:numFmt w:val="decimal"/>
      <w:lvlText w:val="%4."/>
      <w:lvlJc w:val="left"/>
      <w:pPr>
        <w:tabs>
          <w:tab w:val="left" w:pos="392"/>
        </w:tabs>
        <w:ind w:left="1399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60F2">
      <w:start w:val="1"/>
      <w:numFmt w:val="aiueoFullWidth"/>
      <w:lvlText w:val="(%5)"/>
      <w:lvlJc w:val="left"/>
      <w:pPr>
        <w:tabs>
          <w:tab w:val="left" w:pos="392"/>
        </w:tabs>
        <w:ind w:left="1819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C1B48">
      <w:start w:val="1"/>
      <w:numFmt w:val="decimalEnclosedCircle"/>
      <w:lvlText w:val="%6"/>
      <w:lvlJc w:val="left"/>
      <w:pPr>
        <w:tabs>
          <w:tab w:val="left" w:pos="392"/>
        </w:tabs>
        <w:ind w:left="2239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82684">
      <w:start w:val="1"/>
      <w:numFmt w:val="decimal"/>
      <w:lvlText w:val="%7."/>
      <w:lvlJc w:val="left"/>
      <w:pPr>
        <w:tabs>
          <w:tab w:val="left" w:pos="392"/>
        </w:tabs>
        <w:ind w:left="2659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C2D7C">
      <w:start w:val="1"/>
      <w:numFmt w:val="aiueoFullWidth"/>
      <w:lvlText w:val="(%8)"/>
      <w:lvlJc w:val="left"/>
      <w:pPr>
        <w:tabs>
          <w:tab w:val="left" w:pos="392"/>
        </w:tabs>
        <w:ind w:left="3079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EFCA4">
      <w:start w:val="1"/>
      <w:numFmt w:val="decimalEnclosedCircle"/>
      <w:lvlText w:val="%9"/>
      <w:lvlJc w:val="left"/>
      <w:pPr>
        <w:tabs>
          <w:tab w:val="left" w:pos="392"/>
        </w:tabs>
        <w:ind w:left="3499" w:hanging="5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E3AA9BDA">
        <w:start w:val="1"/>
        <w:numFmt w:val="decimalEnclosedCircle"/>
        <w:lvlText w:val="%1"/>
        <w:lvlJc w:val="left"/>
        <w:pPr>
          <w:ind w:left="315" w:hanging="2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AE2102">
        <w:start w:val="1"/>
        <w:numFmt w:val="aiueoFullWidth"/>
        <w:lvlText w:val="(%2)"/>
        <w:lvlJc w:val="left"/>
        <w:pPr>
          <w:ind w:left="629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666A4A">
        <w:start w:val="1"/>
        <w:numFmt w:val="decimalEnclosedCircle"/>
        <w:lvlText w:val="%3"/>
        <w:lvlJc w:val="left"/>
        <w:pPr>
          <w:tabs>
            <w:tab w:val="left" w:pos="392"/>
          </w:tabs>
          <w:ind w:left="977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F45A06">
        <w:start w:val="1"/>
        <w:numFmt w:val="decimal"/>
        <w:lvlText w:val="%4."/>
        <w:lvlJc w:val="left"/>
        <w:pPr>
          <w:tabs>
            <w:tab w:val="left" w:pos="392"/>
          </w:tabs>
          <w:ind w:left="1397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3A60F2">
        <w:start w:val="1"/>
        <w:numFmt w:val="aiueoFullWidth"/>
        <w:lvlText w:val="(%5)"/>
        <w:lvlJc w:val="left"/>
        <w:pPr>
          <w:tabs>
            <w:tab w:val="left" w:pos="392"/>
          </w:tabs>
          <w:ind w:left="1817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3C1B48">
        <w:start w:val="1"/>
        <w:numFmt w:val="decimalEnclosedCircle"/>
        <w:lvlText w:val="%6"/>
        <w:lvlJc w:val="left"/>
        <w:pPr>
          <w:tabs>
            <w:tab w:val="left" w:pos="392"/>
          </w:tabs>
          <w:ind w:left="2237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082684">
        <w:start w:val="1"/>
        <w:numFmt w:val="decimal"/>
        <w:lvlText w:val="%7."/>
        <w:lvlJc w:val="left"/>
        <w:pPr>
          <w:tabs>
            <w:tab w:val="left" w:pos="392"/>
          </w:tabs>
          <w:ind w:left="2657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0C2D7C">
        <w:start w:val="1"/>
        <w:numFmt w:val="aiueoFullWidth"/>
        <w:lvlText w:val="(%8)"/>
        <w:lvlJc w:val="left"/>
        <w:pPr>
          <w:tabs>
            <w:tab w:val="left" w:pos="392"/>
          </w:tabs>
          <w:ind w:left="3077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FEFCA4">
        <w:start w:val="1"/>
        <w:numFmt w:val="decimalEnclosedCircle"/>
        <w:lvlText w:val="%9"/>
        <w:lvlJc w:val="left"/>
        <w:pPr>
          <w:tabs>
            <w:tab w:val="left" w:pos="392"/>
          </w:tabs>
          <w:ind w:left="3497" w:hanging="5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B8"/>
    <w:rsid w:val="001925FC"/>
    <w:rsid w:val="001C6972"/>
    <w:rsid w:val="00351B38"/>
    <w:rsid w:val="0078078B"/>
    <w:rsid w:val="007D1C96"/>
    <w:rsid w:val="00884B9C"/>
    <w:rsid w:val="00932275"/>
    <w:rsid w:val="00961735"/>
    <w:rsid w:val="00AB0350"/>
    <w:rsid w:val="00AC57B8"/>
    <w:rsid w:val="00C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4EF8"/>
  <w15:docId w15:val="{FB07A929-7378-4866-B687-E7F1A353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lang w:val="en-US"/>
    </w:rPr>
  </w:style>
  <w:style w:type="table" w:styleId="a5">
    <w:name w:val="Table Grid"/>
    <w:basedOn w:val="a1"/>
    <w:uiPriority w:val="39"/>
    <w:rsid w:val="0093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D101-EFA1-4F35-8BC9-EECF6B00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8</cp:revision>
  <dcterms:created xsi:type="dcterms:W3CDTF">2019-11-18T08:07:00Z</dcterms:created>
  <dcterms:modified xsi:type="dcterms:W3CDTF">2020-01-17T21:19:00Z</dcterms:modified>
</cp:coreProperties>
</file>