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t xml:space="preserve"> </w:t>
      </w:r>
      <w:r>
        <w:rPr/>
        <w:drawing>
          <wp:inline distT="0" distB="0" distL="0" distR="0">
            <wp:extent cx="1999615" cy="52451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840865" cy="52451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21-22 апреля 2022 года в Заполярном государственном университете им. Н.М. Федоровского состоится Международная арктическая конференция «8+» (МАК 8+, International Arctic Conference «8+» (IAC 8+), посвященная председательству России в Арктическом совете.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формирование международной междисциплинарной площадки для обсуждения и решения широкого круга вопросов, связанных с арктическим регионом и укрепление образовательных и научных связей между поколениями ученых в рамках отдельных научных направлений.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презентация перспективных лучших российских, международных арктических исследований и проектов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повышение привлекательности ЗГУ как междисциплинарной площадки для научных исследований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расширение региональных арктических контактов в сфере научно-технической и научно-исследовательской деятельности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распространение результатов научных исследований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Приглашаем принять участие учащихся школ, студенческую молодежь, аспирантов, преподавателей, ученых, экспертов, специалистов, общественных и политических деятелей.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Обязательным условием участия в конференции является бесплатная публикация статьи по тематике докладов в научно-практических журналах «Культура. Наука. Производство» (член редакционной коллегии Ларс Куллеруд – Президент Университета Арктики) и «Научный вестник Арктики». Журналы рецензируются в БД РИНЦ и имеют </w:t>
      </w:r>
      <w:r>
        <w:rPr>
          <w:rFonts w:cs="Times New Roman" w:ascii="Times New Roman" w:hAnsi="Times New Roman"/>
          <w:sz w:val="28"/>
          <w:szCs w:val="28"/>
          <w:lang w:val="en-US"/>
        </w:rPr>
        <w:t>DOI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Публикации принимаются до 18 апреля 2022 г. на адрес </w:t>
      </w:r>
      <w:hyperlink r:id="rId4">
        <w:r>
          <w:rPr>
            <w:rFonts w:cs="Times New Roman" w:ascii="Times New Roman" w:hAnsi="Times New Roman"/>
            <w:b/>
            <w:bCs/>
            <w:sz w:val="28"/>
            <w:szCs w:val="28"/>
          </w:rPr>
          <w:t>ias.norilsk@gmail.com</w:t>
        </w:r>
      </w:hyperlink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публикации в Приложении 1.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 участия – очная, заочная, дистанционный формат.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Рабочий язык конференции – русский, английский.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Заявки на участие принимаются до 05 апреля 2022 г.</w:t>
      </w:r>
      <w:r>
        <w:rPr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 адрес </w:t>
      </w:r>
      <w:hyperlink r:id="rId5">
        <w:r>
          <w:rPr>
            <w:rFonts w:cs="Times New Roman" w:ascii="Times New Roman" w:hAnsi="Times New Roman"/>
            <w:b/>
            <w:bCs/>
            <w:sz w:val="28"/>
            <w:szCs w:val="28"/>
          </w:rPr>
          <w:t>ias.norilsk@gmail.com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/>
        <w:t xml:space="preserve"> (</w:t>
      </w:r>
      <w:r>
        <w:rPr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риложение 2).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конференции бесплатное. Проезд и проживание за счет участников.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научные площадки: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Окружающая среда, природные ресурсы и биоразнообразие Арктики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Environment, natural resources and biodiversity of the Arctic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ожидаем доклады и презентации, направленные на разрешение противоречий между экологическим благополучием арктического региона и ущербом от освоения природных ресурсов; между коренными жителями, ведущими традиционное природопользование и ответственностью корпораций, расширяющих своё производство.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обсудим как можно управлять экологическими рисками, чтобы способствовать устойчивому развитию региона, в том числе связанных с потеплением климата.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Презентации могут включать оценки воздействия хозяйственной деятельности человека на окружающую среду; вопросы экологической политики, права и менеджмента; связь развития региона с Целями устойчивого развития; сохранение биоразнообразия; участие и вовлечение жителей, общественности в решение экологических проблем и др.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Инициатором и организатором площадки является Эколого-просветительский центр «Ноосфера» ЗГУ.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Здоровье человека в Арктике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Human health in the Arctic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ожидаем доклады и презентации, направленные на исследования медико-биологических аспектов жизни человека в Арктике; адаптации человека к неблагоприятным экологическим и климатическим условиям, а также биологическим особенностям населения, проживающего на этих территориях; сохранения и поддержания физического и психологического здоровья и благополучия жителей региона; достижения и перспективы развития здоровьесберегающих технологий; теории и практики физического воспитания и спортивной тренировки молодежи в условиях арктического региона.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Инициатором и организатором площадки является научно-практический центр «Экология здоровья» ЗГУ.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Язык, культура, искусство и история народов Арктики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Language, culture, art and history of the Arctic peoples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ожидаем доклады и презентации, направленные на исследования языка, культуры, искусства и истории коренных народов арктических этнических групп и культур.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арктическом регионе народы говорят более чем семидесяти языках, которые сегодня находятся перед угрозой исчезновения. Знания коренных народов прославляются через искусство, культуру и ремесла и неотъемлемо включены в повседневную их жизнь. Они передаются из поколения в поколение через непрерывные практики, укрепляя связи между поколениями, которые очень важны для устойчивости арктического сообщества.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мы обсудим проблемы идентичности коренных народов Арктики.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Социально-экономическое развитие Арктики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Socio</w:t>
      </w: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economic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development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of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Arctic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ожидаем доклады и презентации, направленные на исследования и экономических аспектов жизнедеятельности в Арктике. Арктика сегодня – это территория, где сталкиваются экономические и политические интересы различных стран, как арктических, так и неарктических.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Одной из важнейших составляющих экономической системы муниципальных образований (МО) является муниципальная инвестиционная политика, от развития и реализации которой зависят значения основных социально-экономических показателей территорий. Поиски новых дополнительных источников финансирования приводят к необходимости создания благоприятного инвестиционного климата в МО, основывающегося на инвестиционной привлекательности МО и уровне предполагаемых рисков.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Поэтому мы рассмотрим вопросы применения методических подходов к оценке инвестиционной привлекательности муниципальных образований российской Арктики, поиска путей привлечения инвестиционных потоков, оценки социально-экономических характеристик МО, имеющих большое значение для потенциальных инвесторов.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Инициатором и организатором площадки является «Лаборатория социально-экономических исследований в Арктике» ЗГУ.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Опыт и перспективы строительства, эксплуатации зданий и сооружений на вечно мерзлых грунтах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Experience and prospects of construction, operation of buildings and structures on permafrost soils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приветствуем доклады по обмену и обобщению опыта в области строительства и эксплуатации зданий и сооружений в районах вечной мерзлоты в условиях Арктики.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период строительства города Норильска основные инженерные проблемы решались достаточно успешно для своего времени. По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истечении многих лет появились новые серьезные проблемы, связанные не только с эксплуатацией отдельных зданий и сооружений, но и с процессами, развивающимися на всей застроенной территории. На новом уровне возродились вопросы обеспечения устойчивости зданий и сооружений.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Данная площадка будет способствовать решению сложнейших вопросов, связанных с сохранением и дальнейшей эксплуатацией зданий и сооружений на вечно мерзлых грунтах.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Инициатором и организатором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площадки является «Научно-исследовательский центр технологий строительства и мониторинга состояния зданий и сооружений на северных арктических территориях.» ЗГУ.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Информационные технологии и цифровые трансформации в Арктике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Information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technology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and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digital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transformation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in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Arctic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российской Арктики невозможно без современной цифровой инфраструктуры. Совершенствование информационно-коммуникационной инфраструктуры на территории Арктической зоны утверждено Президентом России как одно из направлений государственной политики на период до 2035 года.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Цифровая трансформация рассматривается и как фактор экономического развития, и как фактор поддержки социальной инфраструктуры в стране.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приветствуем доклады и презентации, затрагивающие проблемы цифрового неравенства в Арктике, возможности для новых направлений развития цифрового бизнеса для Арктики, возможности для городского и жилищно-коммунального хозяйства, телемедицины, электронного правительства, оказания электронных услуг, онлайн-образования и пр. 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Инициатором и организатором площадки является «Арктический центр информационных технологий» ЗГУ.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Современная горнодобывающая промышленность в Арктике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Modern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mining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in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Arctic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Горнодобывающая промышленность играет огромную роль в экономическом развитии арктических стран.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Горнодобывающая промышленность связана с разработкой невозобновляемых ресурсов. В этой связи возникает важный вопрос об устойчивости экономического развития арктических территорий. Кроме того, добыча ресурсов в Арктике – это капиталоемкий, высокозатратный бизнес.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приветствуем доклады и презентации, направленные на исследование проблем удаленности месторождений, отсутствия необходимой инфраструктуры и источников энергии, нехватки квалифицированной рабочей силы, внедрение новых технологий и цифровизации горных предприятий и пр.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Электроэнергетика и автоматизация в условиях Арктики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Electric power industry and automation in the Arctic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Арктики невозможно без передовых технологий и прогрессивных идей в областях электроснабжения и автоматизации. Эффективность электроэнергетики, совершенствование технологий автоматизации являются ключевыми факторами для развития районов Крайнего Севера.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данной площадке мы приветствуем доклады и презентации, посвященные изучению и решению актуальных проблем в области электроэнергетики и автоматизации, созданию и внедрению новых технологий, свежие взгляды на использование существующего оборудования, а также вопросы, связанные с оптимизацией областей электроснабжения и автоматизации.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Научный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потенциал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молодежи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Арктики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Scientific capacity of the Arctic youth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Эта площадка будет проходить при поддержке Научного общества молодых ученых Заполярного государственного университета «Молодежь Арктики».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этой площадке приветствуются доклады и эссе об опыте, проблемах, перспективах и условиях жизни арктической молодежи, о потребностях, возможностях, о здоровье  и безопасности, о материальном благополучии, карьере, занятости, жилье, инфраструктуре, мобильности, культуре, идентичности, образе жизни, отношениях, общении, о роли социальных сетей, традиций, знаний, творчества, отдыха, образования, обучения, компетенций, стремлений, отношений с природой, возможностей построения образовательной и профессиональной траектории жизни, молодежной политики и др.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встречи в Норильске, в Заполярном государственном университете им. Н.М. Федоровского!!!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Организационный комитет: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  <w:t>ias.norilsk@gmail.com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Кармановская Наталья Владимировна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+79131610293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Смирнова Анастасия Талибжановна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+79134913034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700" w:leader="none"/>
        </w:tabs>
        <w:spacing w:lineRule="auto" w:line="240" w:before="100" w:after="0"/>
        <w:ind w:firstLine="709"/>
        <w:jc w:val="right"/>
        <w:rPr>
          <w:rFonts w:ascii="Times New Roman" w:hAnsi="Times New Roman" w:eastAsia="Times New Roman" w:cs="Times New Roman"/>
          <w:b/>
          <w:b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4"/>
          <w:lang w:eastAsia="ru-RU"/>
        </w:rPr>
        <w:t>Приложение 1</w:t>
      </w:r>
    </w:p>
    <w:tbl>
      <w:tblPr>
        <w:tblStyle w:val="a7"/>
        <w:tblW w:w="148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15"/>
        <w:gridCol w:w="7414"/>
      </w:tblGrid>
      <w:tr>
        <w:trPr>
          <w:trHeight w:val="8834" w:hRule="atLeast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60" w:after="0"/>
              <w:jc w:val="center"/>
              <w:rPr>
                <w:rFonts w:ascii="Arial" w:hAnsi="Arial" w:cs="Arial"/>
                <w:b/>
                <w:b/>
                <w:color w:val="000000"/>
                <w:sz w:val="28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2"/>
                <w:lang w:val="ru-RU" w:eastAsia="en-US" w:bidi="ar-SA"/>
              </w:rPr>
              <w:t>Требования к оформлению статьи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sz w:val="12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1.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Автор предоставляет в редакцию печатный экземпляр статьи или ее электронную версию с указанием тематического направления. Статья должна быть подписана автором.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1"/>
                <w:lang w:val="ru-RU" w:eastAsia="en-US" w:bidi="ar-SA"/>
              </w:rPr>
              <w:t>3.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К статье обязательно прилагаются ее название, Ф.И.О. авторов (полностью), аннотация (не более 5-6 строк), ключевые слова (не более 10 слов), пристатейный библиографический список.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b/>
                <w:b/>
                <w:sz w:val="28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>Статья должна быть подписана автором и иметь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i/>
                <w:kern w:val="0"/>
                <w:sz w:val="22"/>
                <w:szCs w:val="21"/>
                <w:lang w:val="ru-RU" w:eastAsia="en-US" w:bidi="ar-SA"/>
              </w:rPr>
              <w:t xml:space="preserve">рецензию. 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К статьям по техническим и естественнонаучным дисциплинам дополнительно прилагается </w:t>
            </w:r>
            <w:r>
              <w:rPr>
                <w:rFonts w:eastAsia="Calibri" w:cs="Arial" w:ascii="Arial" w:hAnsi="Arial"/>
                <w:b/>
                <w:i/>
                <w:color w:val="000000"/>
                <w:kern w:val="0"/>
                <w:sz w:val="22"/>
                <w:szCs w:val="21"/>
                <w:lang w:val="ru-RU" w:eastAsia="en-US" w:bidi="ar-SA"/>
              </w:rPr>
              <w:t>экспертное заключение о возможности опубликования.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1"/>
                <w:lang w:val="ru-RU" w:eastAsia="en-US" w:bidi="ar-SA"/>
              </w:rPr>
              <w:t>4.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i/>
                <w:kern w:val="0"/>
                <w:sz w:val="22"/>
                <w:szCs w:val="21"/>
                <w:lang w:val="ru-RU" w:eastAsia="en-US" w:bidi="ar-SA"/>
              </w:rPr>
              <w:t>Сведения об авторах должны включать: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фамилия, имя, отчество, место работы, должность, ученая степень, звание, домашний и служебный адрес, телефоны, 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en-US" w:eastAsia="en-US" w:bidi="ar-SA"/>
              </w:rPr>
              <w:t>e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>-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en-US" w:eastAsia="en-US" w:bidi="ar-SA"/>
              </w:rPr>
              <w:t>mail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>. Если авторов несколько, указать, с кем из них вести переписку.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Каждый из авторов заключает лицензионный договор на право использования своего результата интеллектуальной деятельности. Для </w:t>
            </w:r>
            <w:r>
              <w:rPr>
                <w:rFonts w:eastAsia="Calibri" w:cs="Arial" w:ascii="Arial" w:hAnsi="Arial"/>
                <w:i/>
                <w:color w:val="000000"/>
                <w:kern w:val="0"/>
                <w:sz w:val="22"/>
                <w:szCs w:val="21"/>
                <w:lang w:val="ru-RU" w:eastAsia="en-US" w:bidi="ar-SA"/>
              </w:rPr>
              <w:t>иногородних авторов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договор присылается на адрес электронной почты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(сканированная копия договора, подписанная автором, пересылается на адрес электронной почты редакции).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1"/>
                <w:lang w:val="ru-RU" w:eastAsia="en-US" w:bidi="ar-SA"/>
              </w:rPr>
              <w:t>5.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i/>
                <w:kern w:val="0"/>
                <w:sz w:val="22"/>
                <w:szCs w:val="21"/>
                <w:lang w:val="ru-RU" w:eastAsia="en-US" w:bidi="ar-SA"/>
              </w:rPr>
              <w:t>Информация на английском языке:</w:t>
            </w:r>
            <w:r>
              <w:rPr>
                <w:rFonts w:eastAsia="Calibri" w:cs="Arial" w:ascii="Arial" w:hAnsi="Arial"/>
                <w:kern w:val="0"/>
                <w:sz w:val="22"/>
                <w:szCs w:val="21"/>
                <w:lang w:val="ru-RU" w:eastAsia="en-US" w:bidi="ar-SA"/>
              </w:rPr>
              <w:t xml:space="preserve"> название статьи, аннотация, ключевые слова, Ф.И.О. автора (полностью), должность, место работы.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spacing w:val="-6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6.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>Объем статьи не должен превышать 16 страниц текста формата А4, включая таблицы и рисунки</w:t>
            </w:r>
            <w:r>
              <w:rPr>
                <w:rFonts w:eastAsia="Calibri" w:cs="Arial" w:ascii="Arial" w:hAnsi="Arial"/>
                <w:spacing w:val="-6"/>
                <w:kern w:val="0"/>
                <w:sz w:val="22"/>
                <w:szCs w:val="21"/>
                <w:lang w:val="ru-RU" w:eastAsia="en-US" w:bidi="ar-SA"/>
              </w:rPr>
              <w:t>, список литературы</w:t>
            </w:r>
            <w:r>
              <w:rPr>
                <w:rFonts w:eastAsia="Calibri" w:cs="Arial" w:ascii="Arial" w:hAnsi="Arial"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. Шрифт – </w:t>
            </w:r>
            <w:r>
              <w:rPr>
                <w:rFonts w:eastAsia="Calibri" w:cs="Arial" w:ascii="Arial" w:hAnsi="Arial"/>
                <w:i/>
                <w:color w:val="000000"/>
                <w:spacing w:val="-6"/>
                <w:kern w:val="0"/>
                <w:sz w:val="22"/>
                <w:szCs w:val="21"/>
                <w:lang w:val="en-US" w:eastAsia="en-US" w:bidi="ar-SA"/>
              </w:rPr>
              <w:t>Times</w:t>
            </w:r>
            <w:r>
              <w:rPr>
                <w:rFonts w:eastAsia="Calibri" w:cs="Arial" w:ascii="Arial" w:hAnsi="Arial"/>
                <w:i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color w:val="000000"/>
                <w:spacing w:val="-6"/>
                <w:kern w:val="0"/>
                <w:sz w:val="22"/>
                <w:szCs w:val="21"/>
                <w:lang w:val="en-US" w:eastAsia="en-US" w:bidi="ar-SA"/>
              </w:rPr>
              <w:t>New</w:t>
            </w:r>
            <w:r>
              <w:rPr>
                <w:rFonts w:eastAsia="Calibri" w:cs="Arial" w:ascii="Arial" w:hAnsi="Arial"/>
                <w:i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color w:val="000000"/>
                <w:spacing w:val="-6"/>
                <w:kern w:val="0"/>
                <w:sz w:val="22"/>
                <w:szCs w:val="21"/>
                <w:lang w:val="en-US" w:eastAsia="en-US" w:bidi="ar-SA"/>
              </w:rPr>
              <w:t>Roman</w:t>
            </w:r>
            <w:r>
              <w:rPr>
                <w:rFonts w:eastAsia="Calibri" w:cs="Arial" w:ascii="Arial" w:hAnsi="Arial"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>, отчетливый, размер шрифта 14, через полуторный интервал.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7.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Электронный вариант должен включать: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pacing w:val="-8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 xml:space="preserve">• 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ru-RU" w:eastAsia="en-US" w:bidi="ar-SA"/>
              </w:rPr>
              <w:t xml:space="preserve">файл с текстом статьи, оформленный в формате 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en-US" w:eastAsia="en-US" w:bidi="ar-SA"/>
              </w:rPr>
              <w:t>Microsoft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en-US" w:eastAsia="en-US" w:bidi="ar-SA"/>
              </w:rPr>
              <w:t>Office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ru-RU" w:eastAsia="en-US" w:bidi="ar-SA"/>
              </w:rPr>
              <w:t xml:space="preserve"> или 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en-US" w:eastAsia="en-US" w:bidi="ar-SA"/>
              </w:rPr>
              <w:t>Windows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en-US" w:eastAsia="en-US" w:bidi="ar-SA"/>
              </w:rPr>
              <w:t>XP</w:t>
            </w:r>
            <w:r>
              <w:rPr>
                <w:rFonts w:eastAsia="Calibri" w:cs="Arial" w:ascii="Arial" w:hAnsi="Arial"/>
                <w:color w:val="000000"/>
                <w:spacing w:val="-8"/>
                <w:kern w:val="0"/>
                <w:sz w:val="22"/>
                <w:szCs w:val="21"/>
                <w:lang w:val="ru-RU" w:eastAsia="en-US" w:bidi="ar-SA"/>
              </w:rPr>
              <w:t>;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pacing w:val="-4"/>
                <w:szCs w:val="21"/>
              </w:rPr>
            </w:pPr>
            <w:r>
              <w:rPr>
                <w:rFonts w:eastAsia="Calibri" w:cs="Arial" w:ascii="Arial" w:hAnsi="Arial"/>
                <w:iCs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>•</w:t>
            </w:r>
            <w:r>
              <w:rPr>
                <w:rFonts w:eastAsia="Calibri" w:cs="Arial" w:ascii="Arial" w:hAnsi="Arial"/>
                <w:i/>
                <w:iCs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>файл с переводом на английский язык (см. п. 5);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00" w:leader="none"/>
              </w:tabs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>8.</w:t>
            </w:r>
            <w:r>
              <w:rPr>
                <w:rFonts w:cs="Arial" w:ascii="Arial" w:hAnsi="Arial"/>
                <w:color w:val="000000"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 Для записи формул применять только 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редактор 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1"/>
                <w:lang w:val="en-US" w:eastAsia="en-US" w:bidi="ar-SA"/>
              </w:rPr>
              <w:t>Microsoft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1"/>
                <w:lang w:val="en-US" w:eastAsia="en-US" w:bidi="ar-SA"/>
              </w:rPr>
              <w:t>Equation</w:t>
            </w:r>
            <w:r>
              <w:rPr>
                <w:rFonts w:cs="Arial" w:ascii="Arial" w:hAnsi="Arial"/>
                <w:b/>
                <w:spacing w:val="-6"/>
                <w:kern w:val="0"/>
                <w:sz w:val="22"/>
                <w:szCs w:val="21"/>
                <w:lang w:val="ru-RU" w:eastAsia="en-US" w:bidi="ar-SA"/>
              </w:rPr>
              <w:t>.</w:t>
            </w:r>
            <w:r>
              <w:rPr>
                <w:rFonts w:cs="Arial" w:ascii="Arial" w:hAnsi="Arial"/>
                <w:spacing w:val="-6"/>
                <w:kern w:val="0"/>
                <w:sz w:val="22"/>
                <w:szCs w:val="21"/>
                <w:lang w:val="ru-RU" w:eastAsia="en-US" w:bidi="ar-SA"/>
              </w:rPr>
              <w:t xml:space="preserve"> </w:t>
            </w:r>
            <w:r>
              <w:rPr>
                <w:rFonts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>Статья должна содержать лишь самые необходимые</w:t>
            </w:r>
          </w:p>
        </w:tc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60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>формулы, от промежуточных выкладок желательно отказаться. Нумеруются только те формулы, на которые имеются ссылки.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9.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Иллюстрационный материал должен быть выполнен четко, в формате, обеспечивающем ясность передачи всех деталей, и быть пригодным для прямого воспроизведения. Размер рисунков по ширине рекомендуется не более 15–17 см. Размещать рисунки следует непосредственно в тексте. Необходимо, чтобы они имели подрисуночные надписи.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>На рисунки и таблицы обязательно должны быть ссылки в тексте.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60"/>
              <w:ind w:firstLine="567"/>
              <w:jc w:val="both"/>
              <w:rPr>
                <w:rFonts w:ascii="Arial" w:hAnsi="Arial" w:cs="Arial"/>
                <w:spacing w:val="-4"/>
                <w:szCs w:val="21"/>
              </w:rPr>
            </w:pPr>
            <w:r>
              <w:rPr>
                <w:rFonts w:eastAsia="Calibri" w:cs="Arial" w:ascii="Arial" w:hAnsi="Arial"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>Таблицы должны иметь заголовки. Допускаются только общепринятые сокращения.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567"/>
              <w:jc w:val="both"/>
              <w:rPr>
                <w:rFonts w:ascii="Arial" w:hAnsi="Arial" w:cs="Arial"/>
                <w:color w:val="000000"/>
                <w:spacing w:val="-4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>10.</w:t>
            </w:r>
            <w:r>
              <w:rPr>
                <w:rFonts w:eastAsia="Calibri" w:cs="Arial" w:ascii="Arial" w:hAnsi="Arial"/>
                <w:color w:val="000000"/>
                <w:spacing w:val="-4"/>
                <w:kern w:val="0"/>
                <w:sz w:val="22"/>
                <w:szCs w:val="21"/>
                <w:lang w:val="ru-RU" w:eastAsia="en-US" w:bidi="ar-SA"/>
              </w:rPr>
              <w:t xml:space="preserve"> Список литературы приводится в конце статьи в порядке упоминания. В тексте должны быть ссылки на нее в квадратных скобках. Библиография должна быть оформлена согласно ГОСТ Р 7.0.100-2018.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60" w:after="0"/>
              <w:ind w:firstLine="567"/>
              <w:jc w:val="both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1"/>
                <w:lang w:val="ru-RU" w:eastAsia="en-US" w:bidi="ar-SA"/>
              </w:rPr>
              <w:t>11.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1"/>
                <w:lang w:val="ru-RU" w:eastAsia="en-US" w:bidi="ar-SA"/>
              </w:rPr>
              <w:t xml:space="preserve"> Рукопись должна быть вычитана автором. Редакция оставляет за собой право сокращать статьи.</w:t>
            </w:r>
          </w:p>
          <w:p>
            <w:pPr>
              <w:pStyle w:val="Normal"/>
              <w:widowControl/>
              <w:spacing w:lineRule="auto" w:line="240" w:before="120" w:after="0"/>
              <w:ind w:firstLine="357"/>
              <w:jc w:val="both"/>
              <w:rPr>
                <w:rFonts w:ascii="Arial" w:hAnsi="Arial" w:cs="Arial"/>
                <w:b/>
                <w:b/>
                <w:smallCaps/>
                <w:szCs w:val="28"/>
              </w:rPr>
            </w:pPr>
            <w:r>
              <w:rPr>
                <w:rFonts w:eastAsia="Calibri" w:cs="Arial" w:ascii="Arial" w:hAnsi="Arial"/>
                <w:b/>
                <w:smallCaps/>
                <w:kern w:val="0"/>
                <w:sz w:val="22"/>
                <w:szCs w:val="28"/>
                <w:lang w:val="ru-RU" w:eastAsia="en-US" w:bidi="ar-SA"/>
              </w:rPr>
              <w:t>Статьи публикуются в авторской редакции.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Arial" w:hAnsi="Arial" w:cs="Arial"/>
                <w:b/>
                <w:b/>
                <w:sz w:val="2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0"/>
                <w:lang w:val="ru-RU" w:eastAsia="en-US" w:bidi="ar-SA"/>
              </w:rPr>
              <w:t>Ответственность за содержание статей</w:t>
              <w:br/>
              <w:t>несут авторы статей</w:t>
            </w:r>
            <w:r>
              <w:rPr>
                <w:rFonts w:eastAsia="Calibri" w:cs="Arial" w:ascii="Arial" w:hAnsi="Arial"/>
                <w:b/>
                <w:kern w:val="0"/>
                <w:sz w:val="28"/>
                <w:szCs w:val="20"/>
                <w:lang w:val="ru-RU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ru-RU" w:eastAsia="en-US" w:bidi="ar-SA"/>
              </w:rPr>
              <w:t>Мнение редакции может не совпадать с мнением авторов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Материалы публикуются на безгонорарной основе.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Плата за публикацию статей с авторов не взимается.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/>
                <w:spacing w:val="-4"/>
                <w:kern w:val="0"/>
                <w:sz w:val="22"/>
                <w:szCs w:val="20"/>
                <w:lang w:val="ru-RU" w:eastAsia="en-US" w:bidi="ar-SA"/>
              </w:rPr>
              <w:t>Уважаемые авторы, в случае невыполнения вышеперечисленных</w:t>
              <w:br/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2"/>
                <w:szCs w:val="20"/>
                <w:lang w:val="ru-RU" w:eastAsia="en-US" w:bidi="ar-SA"/>
              </w:rPr>
              <w:t>условий статья опубликована не будет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!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firstLine="709"/>
              <w:jc w:val="both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0"/>
                <w:szCs w:val="20"/>
                <w:lang w:val="ru-RU" w:eastAsia="en-US" w:bidi="ar-SA"/>
              </w:rPr>
              <w:t>РУКОПИСИ НАПРАВЛЯТЬ ПО АДРЕСУ: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eastAsia="Calibri" w:cs="Arial" w:ascii="Arial" w:hAnsi="Arial"/>
                <w:spacing w:val="-6"/>
                <w:kern w:val="0"/>
                <w:sz w:val="20"/>
                <w:szCs w:val="20"/>
                <w:lang w:val="ru-RU" w:eastAsia="en-US" w:bidi="ar-SA"/>
              </w:rPr>
              <w:t>663310, г. Норильск, ул. 50 лет Октября, 7,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eastAsia="Calibri" w:cs="Arial" w:ascii="Arial" w:hAnsi="Arial"/>
                <w:spacing w:val="-6"/>
                <w:kern w:val="0"/>
                <w:sz w:val="20"/>
                <w:szCs w:val="20"/>
                <w:lang w:val="ru-RU" w:eastAsia="en-US" w:bidi="ar-SA"/>
              </w:rPr>
              <w:t>ФГБОУВО «Заполярный государственный</w:t>
              <w:br/>
              <w:t>университет им. Н.М. Федоровского».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>Редакция журнала.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Тел</w:t>
            </w:r>
            <w:r>
              <w:rPr>
                <w:rFonts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. (3919) 47-39-44. 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>Факс</w:t>
            </w:r>
            <w:r>
              <w:rPr>
                <w:rFonts w:cs="Arial" w:ascii="Arial" w:hAnsi="Arial"/>
                <w:kern w:val="0"/>
                <w:sz w:val="20"/>
                <w:szCs w:val="20"/>
                <w:lang w:val="de-DE" w:eastAsia="en-US" w:bidi="ar-SA"/>
              </w:rPr>
              <w:t xml:space="preserve"> (3919) 42-17-41.</w:t>
              <w:br/>
              <w:t xml:space="preserve">E-mail: </w:t>
            </w:r>
            <w:hyperlink r:id="rId7">
              <w:r>
                <w:rPr>
                  <w:rFonts w:cs="Arial" w:ascii="Arial" w:hAnsi="Arial"/>
                  <w:kern w:val="0"/>
                  <w:sz w:val="20"/>
                  <w:szCs w:val="20"/>
                  <w:lang w:val="en-US" w:eastAsia="en-US" w:bidi="ar-SA"/>
                </w:rPr>
                <w:t>rio_ngii</w:t>
              </w:r>
              <w:r>
                <w:rPr>
                  <w:rFonts w:cs="Arial" w:ascii="Arial" w:hAnsi="Arial"/>
                  <w:kern w:val="0"/>
                  <w:sz w:val="20"/>
                  <w:szCs w:val="20"/>
                  <w:lang w:val="de-DE" w:eastAsia="en-US" w:bidi="ar-SA"/>
                </w:rPr>
                <w:t>@norvuz.ru</w:t>
              </w:r>
            </w:hyperlink>
          </w:p>
        </w:tc>
      </w:tr>
    </w:tbl>
    <w:p>
      <w:pPr>
        <w:pStyle w:val="Normal"/>
        <w:widowControl w:val="false"/>
        <w:tabs>
          <w:tab w:val="clear" w:pos="708"/>
          <w:tab w:val="left" w:pos="2700" w:leader="none"/>
        </w:tabs>
        <w:spacing w:lineRule="auto" w:line="240" w:before="100" w:after="0"/>
        <w:ind w:firstLine="709"/>
        <w:jc w:val="both"/>
        <w:rPr>
          <w:rFonts w:ascii="Times New Roman" w:hAnsi="Times New Roman" w:eastAsia="Times New Roman" w:cs="Times New Roman"/>
          <w:b/>
          <w:b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2700" w:leader="none"/>
        </w:tabs>
        <w:spacing w:lineRule="auto" w:line="240" w:before="100" w:after="0"/>
        <w:ind w:firstLine="709"/>
        <w:jc w:val="right"/>
        <w:rPr>
          <w:rFonts w:ascii="Times New Roman" w:hAnsi="Times New Roman" w:eastAsia="Times New Roman" w:cs="Times New Roman"/>
          <w:b/>
          <w:b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4"/>
          <w:lang w:eastAsia="ru-RU"/>
        </w:rPr>
        <w:t xml:space="preserve">Приложение 2 </w:t>
      </w:r>
    </w:p>
    <w:p>
      <w:pPr>
        <w:pStyle w:val="Normal"/>
        <w:widowControl w:val="false"/>
        <w:tabs>
          <w:tab w:val="clear" w:pos="708"/>
          <w:tab w:val="left" w:pos="2700" w:leader="none"/>
        </w:tabs>
        <w:spacing w:lineRule="auto" w:line="240" w:before="100" w:after="0"/>
        <w:ind w:firstLine="709"/>
        <w:jc w:val="center"/>
        <w:rPr>
          <w:rFonts w:ascii="Times New Roman" w:hAnsi="Times New Roman" w:eastAsia="Times New Roman" w:cs="Times New Roman"/>
          <w:spacing w:val="-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32"/>
          <w:szCs w:val="32"/>
          <w:lang w:eastAsia="ru-RU"/>
        </w:rPr>
        <w:t>Форма заявки</w:t>
      </w:r>
    </w:p>
    <w:p>
      <w:pPr>
        <w:pStyle w:val="Normal"/>
        <w:widowControl w:val="false"/>
        <w:spacing w:lineRule="auto" w:line="240" w:before="100" w:after="0"/>
        <w:ind w:firstLine="709"/>
        <w:jc w:val="both"/>
        <w:rPr>
          <w:rFonts w:ascii="Times New Roman" w:hAnsi="Times New Roman" w:eastAsia="Times New Roman" w:cs="Times New Roman"/>
          <w:spacing w:val="-2"/>
          <w:u w:val="single"/>
          <w:lang w:eastAsia="ru-RU"/>
        </w:rPr>
      </w:pPr>
      <w:r>
        <w:rPr>
          <w:rFonts w:eastAsia="Times New Roman" w:cs="Times New Roman" w:ascii="Times New Roman" w:hAnsi="Times New Roman"/>
          <w:spacing w:val="-2"/>
          <w:u w:val="single"/>
          <w:lang w:eastAsia="ru-RU"/>
        </w:rPr>
      </w:r>
    </w:p>
    <w:tbl>
      <w:tblPr>
        <w:tblW w:w="14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0"/>
        <w:gridCol w:w="2777"/>
        <w:gridCol w:w="2976"/>
        <w:gridCol w:w="2552"/>
        <w:gridCol w:w="2409"/>
        <w:gridCol w:w="3005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Фамилия, имя, отчество участника (полностью)</w:t>
            </w:r>
          </w:p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09" w:leader="none"/>
              </w:tabs>
              <w:spacing w:lineRule="auto" w:line="240" w:before="100" w:after="0"/>
              <w:ind w:left="5" w:hanging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Наименование учреждения/организации, телефон, электронный адрес участника</w:t>
            </w:r>
          </w:p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Наименование доклада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(презентации)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 xml:space="preserve">Название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статьи</w:t>
            </w:r>
          </w:p>
          <w:p>
            <w:pPr>
              <w:pStyle w:val="Normal"/>
              <w:widowControl w:val="false"/>
              <w:spacing w:lineRule="auto" w:line="240" w:before="10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Наименование направления работы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(название площадки) / формат участия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(заочно, дистанционно, очно)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u w:val="single"/>
                <w:lang w:eastAsia="ru-RU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lang w:eastAsia="ru-RU"/>
              </w:rPr>
              <w:t>…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u w:val="single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u w:val="single"/>
                <w:lang w:eastAsia="ru-RU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u w:val="single"/>
                <w:lang w:eastAsia="ru-RU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u w:val="single"/>
                <w:lang w:eastAsia="ru-RU"/>
              </w:rPr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 w:eastAsia="Times New Roman" w:cs="Times New Roman"/>
                <w:spacing w:val="-2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u w:val="single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d6401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393b3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368d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393b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85b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as.norilsk@gmail.com" TargetMode="External"/><Relationship Id="rId5" Type="http://schemas.openxmlformats.org/officeDocument/2006/relationships/hyperlink" Target="mailto:ias.norilsk@gmail.com" TargetMode="External"/><Relationship Id="rId6" Type="http://schemas.openxmlformats.org/officeDocument/2006/relationships/hyperlink" Target="mailto:ias.norilsk@gmail.com" TargetMode="External"/><Relationship Id="rId7" Type="http://schemas.openxmlformats.org/officeDocument/2006/relationships/hyperlink" Target="mailto:rio_ngii@norvuz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BDF2-DBE4-45C2-B34E-8488A104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LibreOffice/7.2.2.2$Windows_X86_64 LibreOffice_project/02b2acce88a210515b4a5bb2e46cbfb63fe97d56</Application>
  <AppVersion>15.0000</AppVersion>
  <Pages>8</Pages>
  <Words>1600</Words>
  <Characters>11860</Characters>
  <CharactersWithSpaces>13365</CharactersWithSpaces>
  <Paragraphs>113</Paragraphs>
  <Company>НГИИ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2019-11-27T08:39:00Z</dcterms:created>
  <dc:creator>Коровкин Владимир Павлович</dc:creator>
  <dc:description/>
  <dc:language>ru-RU</dc:language>
  <cp:lastModifiedBy/>
  <dcterms:modified xsi:type="dcterms:W3CDTF">2022-03-24T09:22:41Z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